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EBEEF04" w:rsidR="00CC72A4" w:rsidRPr="00CC72A4" w:rsidRDefault="00D47DE0" w:rsidP="00F65114">
      <w:pPr>
        <w:pStyle w:val="Heading1"/>
      </w:pPr>
      <w:r>
        <w:t xml:space="preserve">Individualized </w:t>
      </w:r>
      <w:r w:rsidR="00284C50">
        <w:t xml:space="preserve">Postsecondary </w:t>
      </w:r>
      <w:r w:rsidR="007F02AD">
        <w:t>Transition</w:t>
      </w:r>
      <w:r>
        <w:t xml:space="preserve"> P</w:t>
      </w:r>
      <w:r w:rsidR="007F02AD">
        <w:t>lan</w:t>
      </w:r>
    </w:p>
    <w:p w14:paraId="274F4B2D" w14:textId="3E84DEA9" w:rsidR="00CC72A4" w:rsidRDefault="00CC72A4" w:rsidP="007E422D">
      <w:pPr>
        <w:spacing w:after="240"/>
        <w:jc w:val="center"/>
      </w:pPr>
      <w:r w:rsidRPr="00CC72A4">
        <w:t>(</w:t>
      </w:r>
      <w:r w:rsidR="00640CA3">
        <w:t xml:space="preserve">USBE </w:t>
      </w:r>
      <w:r w:rsidR="000109B3">
        <w:t>Rules</w:t>
      </w:r>
      <w:r w:rsidR="00D47DE0">
        <w:t xml:space="preserve"> III.J.</w:t>
      </w:r>
      <w:r w:rsidR="0034199C">
        <w:t>2.</w:t>
      </w:r>
      <w:r w:rsidR="002C21C5">
        <w:t>j</w:t>
      </w:r>
      <w:r w:rsidR="0034199C">
        <w:t>.</w:t>
      </w:r>
      <w:r w:rsidR="00501AB3">
        <w:t xml:space="preserve">; </w:t>
      </w:r>
      <w:r w:rsidR="0034199C">
        <w:t>V</w:t>
      </w:r>
      <w:r w:rsidR="00501AB3">
        <w:t>II.</w:t>
      </w:r>
      <w:r w:rsidR="0034199C">
        <w:t>B</w:t>
      </w:r>
      <w:r w:rsidR="00501AB3">
        <w:t xml:space="preserve">.; and </w:t>
      </w:r>
      <w:r w:rsidR="0034199C">
        <w:t>V</w:t>
      </w:r>
      <w:r w:rsidR="00501AB3">
        <w:t>II.</w:t>
      </w:r>
      <w:r w:rsidR="0034199C">
        <w:t>C</w:t>
      </w:r>
      <w:r w:rsidR="00501AB3">
        <w:t>.</w:t>
      </w:r>
      <w:r w:rsidRPr="00CC72A4">
        <w:t>)</w:t>
      </w:r>
    </w:p>
    <w:p w14:paraId="09813AD5" w14:textId="77777777" w:rsidR="000821D2" w:rsidRDefault="000821D2" w:rsidP="000821D2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t>District/School:</w:t>
      </w:r>
      <w:r>
        <w:tab/>
        <w:t>Date of Meeting:</w:t>
      </w:r>
    </w:p>
    <w:p w14:paraId="3DBAC396" w14:textId="77777777" w:rsidR="000821D2" w:rsidRPr="00FE6A3B" w:rsidRDefault="000821D2" w:rsidP="000821D2">
      <w:pPr>
        <w:tabs>
          <w:tab w:val="left" w:pos="6570"/>
          <w:tab w:val="left" w:pos="9360"/>
        </w:tabs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bookmarkEnd w:id="0"/>
    <w:p w14:paraId="7CA67A48" w14:textId="18C1733C" w:rsidR="005B4487" w:rsidRPr="00613728" w:rsidRDefault="00613728" w:rsidP="00613728">
      <w:pPr>
        <w:rPr>
          <w:b/>
          <w:bCs/>
          <w:sz w:val="26"/>
          <w:szCs w:val="26"/>
        </w:rPr>
      </w:pPr>
      <w:r w:rsidRPr="00613728">
        <w:rPr>
          <w:b/>
          <w:bCs/>
          <w:sz w:val="26"/>
          <w:szCs w:val="26"/>
        </w:rPr>
        <w:t>The IEP must contain a statement of school to post-school transition services for a student with a disability age 14 and older, or younger if determined appropriate by the IEP team, and updated annually thereafter. The statement includes:</w:t>
      </w:r>
    </w:p>
    <w:p w14:paraId="7951F2BF" w14:textId="5E3CB58A" w:rsidR="00640CA3" w:rsidRDefault="00640CA3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613728">
        <w:t xml:space="preserve">Documentation of annual age-appropriate </w:t>
      </w:r>
      <w:r w:rsidR="00FB15E9">
        <w:t xml:space="preserve">postsecondary </w:t>
      </w:r>
      <w:r w:rsidRPr="00613728">
        <w:t>transition assessment results in the areas of employment and postsecondary education/training, and, where appropriate, independent living skills</w:t>
      </w:r>
      <w:r>
        <w:t>.</w:t>
      </w:r>
    </w:p>
    <w:p w14:paraId="56E21C10" w14:textId="0B2D8ADA" w:rsidR="003D1F6B" w:rsidRPr="003D1F6B" w:rsidRDefault="003D1F6B" w:rsidP="003D1F6B">
      <w:pPr>
        <w:pStyle w:val="NumberedList"/>
        <w:spacing w:after="120"/>
        <w:ind w:firstLine="0"/>
        <w:rPr>
          <w:b w:val="0"/>
          <w:bCs/>
        </w:rPr>
      </w:pPr>
      <w:r w:rsidRPr="003D1F6B">
        <w:rPr>
          <w:b w:val="0"/>
          <w:bCs/>
        </w:rPr>
        <w:t>Date of assessment:</w:t>
      </w:r>
    </w:p>
    <w:p w14:paraId="47570999" w14:textId="6580D6E1" w:rsidR="00F65114" w:rsidRDefault="00B1617E" w:rsidP="00F65114">
      <w:pPr>
        <w:tabs>
          <w:tab w:val="left" w:pos="4410"/>
          <w:tab w:val="left" w:pos="7290"/>
        </w:tabs>
        <w:ind w:left="446"/>
      </w:pPr>
      <w:r>
        <w:rPr>
          <w:rFonts w:ascii="MS Gothic" w:eastAsia="MS Gothic" w:hAnsi="MS Gothic" w:hint="eastAsia"/>
        </w:rPr>
        <w:t>☐</w:t>
      </w:r>
      <w:r>
        <w:t xml:space="preserve"> Summary/protocols </w:t>
      </w:r>
      <w:r w:rsidR="00F65114">
        <w:t>included in the special education file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Included in the PLAAFP</w:t>
      </w:r>
    </w:p>
    <w:p w14:paraId="5A6C820C" w14:textId="40BAE938" w:rsidR="00B1617E" w:rsidRPr="00B1617E" w:rsidRDefault="00B1617E" w:rsidP="00DC7DB8">
      <w:pPr>
        <w:tabs>
          <w:tab w:val="left" w:pos="4410"/>
          <w:tab w:val="left" w:pos="7740"/>
        </w:tabs>
        <w:spacing w:after="1200"/>
        <w:ind w:left="734" w:hanging="288"/>
      </w:pPr>
      <w:r>
        <w:rPr>
          <w:rFonts w:ascii="MS Gothic" w:eastAsia="MS Gothic" w:hAnsi="MS Gothic" w:hint="eastAsia"/>
        </w:rPr>
        <w:t>☐</w:t>
      </w:r>
      <w:r>
        <w:t xml:space="preserve"> </w:t>
      </w:r>
      <w:r w:rsidR="00DC7DB8">
        <w:t>Included here is a s</w:t>
      </w:r>
      <w:r w:rsidR="00F65114">
        <w:t xml:space="preserve">ummary of assessment results </w:t>
      </w:r>
      <w:r w:rsidR="00DC7DB8">
        <w:t xml:space="preserve">that are </w:t>
      </w:r>
      <w:r w:rsidR="00F65114">
        <w:t>not included in the special education file or PLAAFP:</w:t>
      </w:r>
    </w:p>
    <w:p w14:paraId="43D31A69" w14:textId="21DA39C3" w:rsidR="00B1617E" w:rsidRPr="00613728" w:rsidRDefault="00B1617E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613728">
        <w:t xml:space="preserve">Student’s appropriate measurable postsecondary goals, based on the student’s needs, strengths, preferences, and interests as measured by </w:t>
      </w:r>
      <w:r w:rsidR="005A07F0">
        <w:t xml:space="preserve">postsecondary </w:t>
      </w:r>
      <w:r w:rsidRPr="00613728">
        <w:t>transition assessments.</w:t>
      </w:r>
    </w:p>
    <w:p w14:paraId="14A90FDB" w14:textId="77777777" w:rsidR="00B1617E" w:rsidRDefault="00B1617E" w:rsidP="009A604C">
      <w:pPr>
        <w:tabs>
          <w:tab w:val="left" w:pos="4590"/>
        </w:tabs>
        <w:ind w:left="475"/>
      </w:pPr>
      <w:r>
        <w:t>Postsecondary employment:</w:t>
      </w:r>
    </w:p>
    <w:p w14:paraId="34D1F2A4" w14:textId="77777777" w:rsidR="00B1617E" w:rsidRDefault="00B1617E" w:rsidP="009A604C">
      <w:pPr>
        <w:tabs>
          <w:tab w:val="left" w:pos="4590"/>
        </w:tabs>
        <w:ind w:left="475"/>
      </w:pPr>
      <w:r>
        <w:t>Postsecondary education/training:</w:t>
      </w:r>
    </w:p>
    <w:p w14:paraId="4F063A67" w14:textId="43F948A4" w:rsidR="00B1617E" w:rsidRDefault="00B1617E" w:rsidP="009A604C">
      <w:pPr>
        <w:tabs>
          <w:tab w:val="left" w:pos="4590"/>
        </w:tabs>
        <w:ind w:left="475"/>
      </w:pPr>
      <w:r>
        <w:t>Postsecondary independent living skills (</w:t>
      </w:r>
      <w:sdt>
        <w:sdtPr>
          <w:id w:val="-86837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50">
            <w:rPr>
              <w:rFonts w:ascii="MS Gothic" w:eastAsia="MS Gothic" w:hAnsi="MS Gothic" w:hint="eastAsia"/>
            </w:rPr>
            <w:t>☐</w:t>
          </w:r>
        </w:sdtContent>
      </w:sdt>
      <w:r w:rsidR="00284C50">
        <w:t xml:space="preserve"> Considered/not needed</w:t>
      </w:r>
      <w:r>
        <w:t>):</w:t>
      </w:r>
    </w:p>
    <w:p w14:paraId="06B230D6" w14:textId="37F8E666" w:rsidR="00284C50" w:rsidRPr="00613728" w:rsidRDefault="00284C50" w:rsidP="00DC7DB8">
      <w:pPr>
        <w:tabs>
          <w:tab w:val="left" w:pos="4590"/>
        </w:tabs>
        <w:spacing w:after="360"/>
        <w:ind w:left="720"/>
      </w:pPr>
      <w:r>
        <w:t>Basis for decision:</w:t>
      </w:r>
    </w:p>
    <w:p w14:paraId="4537F42B" w14:textId="4D649651" w:rsidR="00613728" w:rsidRDefault="00FB15E9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>
        <w:t>Postsecondary t</w:t>
      </w:r>
      <w:r w:rsidR="00613728" w:rsidRPr="00613728">
        <w:t xml:space="preserve">ransition services: What </w:t>
      </w:r>
      <w:r>
        <w:t xml:space="preserve">postsecondary </w:t>
      </w:r>
      <w:r w:rsidR="00613728" w:rsidRPr="00613728">
        <w:t>transition services, activities, and/or specialized instruction are needed during this annual IEP for the student to develop the skills and knowledge to facilitate movement towards the student’s postsecondary goals?</w:t>
      </w:r>
    </w:p>
    <w:p w14:paraId="3DB8A7BE" w14:textId="48AB1C91" w:rsidR="00613728" w:rsidRDefault="00613728" w:rsidP="009A604C">
      <w:pPr>
        <w:tabs>
          <w:tab w:val="left" w:pos="4590"/>
        </w:tabs>
        <w:ind w:left="475"/>
      </w:pPr>
      <w:r>
        <w:t>Employment:</w:t>
      </w:r>
    </w:p>
    <w:p w14:paraId="7007FB76" w14:textId="5FA48E80" w:rsidR="00613728" w:rsidRDefault="00613728" w:rsidP="009A604C">
      <w:pPr>
        <w:tabs>
          <w:tab w:val="left" w:pos="4590"/>
        </w:tabs>
        <w:ind w:left="475"/>
      </w:pPr>
      <w:r>
        <w:t>Education/training:</w:t>
      </w:r>
    </w:p>
    <w:p w14:paraId="7D46DD18" w14:textId="3583A3E9" w:rsidR="00613728" w:rsidRDefault="00613728" w:rsidP="009A604C">
      <w:pPr>
        <w:tabs>
          <w:tab w:val="left" w:pos="4590"/>
        </w:tabs>
        <w:ind w:left="475"/>
      </w:pPr>
      <w:r>
        <w:t>Independent living skills (</w:t>
      </w:r>
      <w:sdt>
        <w:sdtPr>
          <w:id w:val="-107057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Considered/not needed):</w:t>
      </w:r>
    </w:p>
    <w:p w14:paraId="163402AE" w14:textId="6F661DF8" w:rsidR="00284C50" w:rsidRDefault="00284C50" w:rsidP="00DC7DB8">
      <w:pPr>
        <w:tabs>
          <w:tab w:val="left" w:pos="4590"/>
        </w:tabs>
        <w:spacing w:after="360"/>
        <w:ind w:left="720"/>
      </w:pPr>
      <w:r>
        <w:t>Basis for decision:</w:t>
      </w:r>
    </w:p>
    <w:p w14:paraId="3B98A223" w14:textId="3D2282CB" w:rsidR="00FB15E9" w:rsidRDefault="00DC7DB8" w:rsidP="00FB15E9">
      <w:pPr>
        <w:pStyle w:val="NumberedList"/>
        <w:numPr>
          <w:ilvl w:val="0"/>
          <w:numId w:val="17"/>
        </w:numPr>
        <w:ind w:left="475" w:hanging="288"/>
      </w:pPr>
      <w:r>
        <w:t xml:space="preserve">Which </w:t>
      </w:r>
      <w:r w:rsidR="00FB15E9">
        <w:t>annual IEP goa</w:t>
      </w:r>
      <w:r>
        <w:t>l</w:t>
      </w:r>
      <w:r w:rsidR="00FB15E9">
        <w:t xml:space="preserve"> </w:t>
      </w:r>
      <w:r>
        <w:t xml:space="preserve">is </w:t>
      </w:r>
      <w:r w:rsidR="00FB15E9">
        <w:t>related to postsecondary transition</w:t>
      </w:r>
      <w:r>
        <w:t>?</w:t>
      </w:r>
    </w:p>
    <w:p w14:paraId="504D7684" w14:textId="77777777" w:rsidR="00FB15E9" w:rsidRDefault="00FB15E9" w:rsidP="00F65114">
      <w:pPr>
        <w:pStyle w:val="NumberedList"/>
        <w:ind w:firstLine="0"/>
      </w:pPr>
    </w:p>
    <w:p w14:paraId="7A314C77" w14:textId="5DCEE07E" w:rsidR="00613728" w:rsidRDefault="00613728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613728">
        <w:t>Are the</w:t>
      </w:r>
      <w:r w:rsidR="00FB15E9">
        <w:t xml:space="preserve"> postsecondary</w:t>
      </w:r>
      <w:r w:rsidRPr="00613728">
        <w:t xml:space="preserve"> transition services, experiences, and/or specialized instruction listed above likely to be provided or paid for by other agencies?</w:t>
      </w:r>
    </w:p>
    <w:p w14:paraId="5E1015EE" w14:textId="4154FEB6" w:rsidR="00613728" w:rsidRPr="00613728" w:rsidRDefault="00D57F5F" w:rsidP="009A604C">
      <w:pPr>
        <w:tabs>
          <w:tab w:val="left" w:pos="4590"/>
        </w:tabs>
        <w:spacing w:after="0"/>
        <w:ind w:left="777" w:hanging="302"/>
      </w:pPr>
      <w:r>
        <w:object w:dxaOrig="225" w:dyaOrig="225" w14:anchorId="07797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No for question 4." style="width:13.5pt;height:9pt" o:ole="">
            <v:imagedata r:id="rId8" o:title=""/>
          </v:shape>
          <w:control r:id="rId9" w:name="OptionButton1" w:shapeid="_x0000_i1029"/>
        </w:object>
      </w:r>
      <w:r w:rsidR="00613728" w:rsidRPr="00613728">
        <w:t>No</w:t>
      </w:r>
    </w:p>
    <w:p w14:paraId="33C2907A" w14:textId="5D65F97C" w:rsidR="00613728" w:rsidRDefault="00D57F5F" w:rsidP="009A604C">
      <w:pPr>
        <w:tabs>
          <w:tab w:val="left" w:pos="4590"/>
        </w:tabs>
        <w:spacing w:after="0"/>
        <w:ind w:left="777" w:hanging="302"/>
      </w:pPr>
      <w:r>
        <w:object w:dxaOrig="225" w:dyaOrig="225" w14:anchorId="5159DD33">
          <v:shape id="_x0000_i1031" type="#_x0000_t75" alt="Yes for question 4." style="width:13.5pt;height:9pt" o:ole="">
            <v:imagedata r:id="rId8" o:title=""/>
          </v:shape>
          <w:control r:id="rId10" w:name="OptionButton2" w:shapeid="_x0000_i1031"/>
        </w:object>
      </w:r>
      <w:r w:rsidR="00613728" w:rsidRPr="00613728">
        <w:t xml:space="preserve">Yes – requires consent to invite agency(ies) to IEP meeting and documentation of agency </w:t>
      </w:r>
      <w:proofErr w:type="gramStart"/>
      <w:r w:rsidR="00613728" w:rsidRPr="00613728">
        <w:t>invitation</w:t>
      </w:r>
      <w:proofErr w:type="gramEnd"/>
    </w:p>
    <w:p w14:paraId="761C9CA4" w14:textId="3E8E8863" w:rsidR="00613728" w:rsidRDefault="00613728" w:rsidP="009A604C">
      <w:pPr>
        <w:tabs>
          <w:tab w:val="left" w:pos="4590"/>
        </w:tabs>
        <w:spacing w:after="240"/>
        <w:ind w:left="864"/>
        <w:rPr>
          <w:rFonts w:cstheme="minorHAnsi"/>
        </w:rPr>
      </w:pPr>
      <w:r w:rsidRPr="00731063">
        <w:rPr>
          <w:rFonts w:cstheme="minorHAnsi"/>
        </w:rPr>
        <w:t>List agency(ies)</w:t>
      </w:r>
      <w:r w:rsidR="00E13E06">
        <w:rPr>
          <w:rFonts w:cstheme="minorHAnsi"/>
        </w:rPr>
        <w:t>:</w:t>
      </w:r>
    </w:p>
    <w:p w14:paraId="7D131CF8" w14:textId="361EDC9B" w:rsidR="00284C50" w:rsidRPr="00731063" w:rsidRDefault="00284C50" w:rsidP="00F65114">
      <w:pPr>
        <w:tabs>
          <w:tab w:val="left" w:pos="4590"/>
        </w:tabs>
        <w:spacing w:after="360"/>
        <w:ind w:left="446"/>
        <w:rPr>
          <w:rFonts w:cstheme="minorHAnsi"/>
        </w:rPr>
      </w:pPr>
      <w:r>
        <w:rPr>
          <w:rFonts w:cstheme="minorHAnsi"/>
        </w:rPr>
        <w:t>Basis for decision:</w:t>
      </w:r>
    </w:p>
    <w:p w14:paraId="76A0D1CE" w14:textId="7FB9FFF0" w:rsidR="00731063" w:rsidRPr="00C710F4" w:rsidRDefault="00731063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C710F4">
        <w:t xml:space="preserve">Courses of study addressing </w:t>
      </w:r>
      <w:r w:rsidR="00FB15E9">
        <w:t>postsecondary</w:t>
      </w:r>
      <w:r w:rsidRPr="00C710F4">
        <w:t xml:space="preserve"> transition needs for postsecondary adult activities.</w:t>
      </w:r>
    </w:p>
    <w:p w14:paraId="1B54BA5C" w14:textId="474B142D" w:rsidR="00731063" w:rsidRPr="00613728" w:rsidRDefault="00731063" w:rsidP="009A604C">
      <w:pPr>
        <w:tabs>
          <w:tab w:val="left" w:pos="4590"/>
        </w:tabs>
        <w:ind w:left="475"/>
      </w:pPr>
      <w:r w:rsidRPr="0070430B">
        <w:t>This should be a multi-year plan, reviewed and revised annually, that specifies the educational courses and experiences that will assist the student in achieving the student’s postsecondary goals.</w:t>
      </w:r>
      <w:r>
        <w:t xml:space="preserve"> </w:t>
      </w:r>
      <w:r w:rsidRPr="0070430B">
        <w:t>This inf</w:t>
      </w:r>
      <w:r>
        <w:t xml:space="preserve">ormation may be contained in a Plan for College and Career Readiness (PCCR) </w:t>
      </w:r>
      <w:r w:rsidRPr="0070430B">
        <w:t xml:space="preserve">and/or a </w:t>
      </w:r>
      <w:r>
        <w:t xml:space="preserve">Student Education Occupation Plan (SEOP), </w:t>
      </w:r>
      <w:r w:rsidRPr="0070430B">
        <w:t xml:space="preserve">which if used </w:t>
      </w:r>
      <w:r>
        <w:t xml:space="preserve">to meet this requirement, </w:t>
      </w:r>
      <w:r w:rsidRPr="0070430B">
        <w:t>must be attached.</w:t>
      </w:r>
    </w:p>
    <w:p w14:paraId="755815FA" w14:textId="5C7E0964" w:rsidR="00613728" w:rsidRDefault="00731063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731063">
        <w:t>Transfer of rights</w:t>
      </w:r>
      <w:r>
        <w:t>. N</w:t>
      </w:r>
      <w:r w:rsidRPr="00731063">
        <w:t>o later than the student’s 17</w:t>
      </w:r>
      <w:r w:rsidRPr="00731063">
        <w:rPr>
          <w:vertAlign w:val="superscript"/>
        </w:rPr>
        <w:t>th</w:t>
      </w:r>
      <w:r w:rsidRPr="00731063">
        <w:t xml:space="preserve"> birthday</w:t>
      </w:r>
      <w:r>
        <w:t>,</w:t>
      </w:r>
      <w:r w:rsidRPr="00731063">
        <w:t xml:space="preserve"> the student must be informed of all rights under IDEA that transfer to the student.</w:t>
      </w:r>
    </w:p>
    <w:p w14:paraId="5BD1366D" w14:textId="78583021" w:rsidR="00731063" w:rsidRDefault="00731063" w:rsidP="00F65114">
      <w:pPr>
        <w:numPr>
          <w:ilvl w:val="0"/>
          <w:numId w:val="18"/>
        </w:numPr>
        <w:tabs>
          <w:tab w:val="left" w:pos="4050"/>
          <w:tab w:val="left" w:pos="6750"/>
          <w:tab w:val="left" w:pos="8550"/>
          <w:tab w:val="left" w:pos="9180"/>
          <w:tab w:val="left" w:pos="9810"/>
        </w:tabs>
        <w:ind w:left="864" w:hanging="288"/>
      </w:pPr>
      <w:r>
        <w:t>The student and parent were provided with the transfer of rights notice on</w:t>
      </w:r>
      <w:r w:rsidR="00C710F4">
        <w:t>[date]</w:t>
      </w:r>
      <w:r>
        <w:t>:</w:t>
      </w:r>
    </w:p>
    <w:p w14:paraId="708DDD31" w14:textId="1D9C918E" w:rsidR="00731063" w:rsidRPr="00B1617E" w:rsidRDefault="00731063" w:rsidP="00F65114">
      <w:pPr>
        <w:numPr>
          <w:ilvl w:val="0"/>
          <w:numId w:val="18"/>
        </w:numPr>
        <w:tabs>
          <w:tab w:val="left" w:pos="4050"/>
          <w:tab w:val="left" w:pos="6750"/>
          <w:tab w:val="left" w:pos="8550"/>
          <w:tab w:val="left" w:pos="9180"/>
          <w:tab w:val="left" w:pos="9810"/>
        </w:tabs>
        <w:ind w:left="864" w:hanging="288"/>
      </w:pPr>
      <w:r>
        <w:t xml:space="preserve">The student </w:t>
      </w:r>
      <w:r w:rsidR="002C21C5">
        <w:t xml:space="preserve">who is an adult </w:t>
      </w:r>
      <w:r>
        <w:t>(age 18+</w:t>
      </w:r>
      <w:r w:rsidR="00514626">
        <w:t>, or under 18 and married, or under 18 and legally emancipated</w:t>
      </w:r>
      <w:r>
        <w:t>) was provided with an explanation of the student’s procedural safeguards on</w:t>
      </w:r>
      <w:r w:rsidR="00C710F4">
        <w:t>[date]</w:t>
      </w:r>
      <w:r>
        <w:t>:</w:t>
      </w:r>
    </w:p>
    <w:p w14:paraId="62E3C286" w14:textId="11FE6EAA" w:rsidR="00731063" w:rsidRDefault="00731063" w:rsidP="00C710F4">
      <w:pPr>
        <w:pStyle w:val="NumberedList"/>
        <w:numPr>
          <w:ilvl w:val="0"/>
          <w:numId w:val="17"/>
        </w:numPr>
        <w:spacing w:after="120"/>
        <w:ind w:left="475" w:hanging="288"/>
      </w:pPr>
      <w:r>
        <w:t>Graduation. Anticipated graduation/school completion date:</w:t>
      </w:r>
    </w:p>
    <w:p w14:paraId="2DA652B1" w14:textId="32DACD09" w:rsidR="00731063" w:rsidRPr="00731063" w:rsidRDefault="00731063" w:rsidP="00C710F4">
      <w:pPr>
        <w:pStyle w:val="NumberedList"/>
        <w:numPr>
          <w:ilvl w:val="0"/>
          <w:numId w:val="17"/>
        </w:numPr>
        <w:ind w:left="475" w:hanging="288"/>
      </w:pPr>
      <w:r w:rsidRPr="00731063">
        <w:t xml:space="preserve">Student Participation: If the student did not attend the IEP meeting, describe how the student participated in the </w:t>
      </w:r>
      <w:r w:rsidR="00FB15E9">
        <w:t xml:space="preserve">postsecondary </w:t>
      </w:r>
      <w:r w:rsidRPr="00731063">
        <w:t>transition planning process</w:t>
      </w:r>
      <w:r w:rsidR="00B1617E">
        <w:t>:</w:t>
      </w:r>
      <w:r w:rsidR="00B1617E" w:rsidRPr="00731063">
        <w:t xml:space="preserve"> </w:t>
      </w:r>
    </w:p>
    <w:sectPr w:rsidR="00731063" w:rsidRPr="00731063" w:rsidSect="00A716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504" w:bottom="1080" w:left="504" w:header="576" w:footer="576" w:gutter="0"/>
      <w:cols w:space="43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A7169F" w:rsidRDefault="00A7169F" w:rsidP="00CC72A4">
      <w:pPr>
        <w:spacing w:after="0"/>
      </w:pPr>
      <w:r>
        <w:separator/>
      </w:r>
    </w:p>
  </w:endnote>
  <w:endnote w:type="continuationSeparator" w:id="0">
    <w:p w14:paraId="09BF9E18" w14:textId="77777777" w:rsidR="00A7169F" w:rsidRDefault="00A7169F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25FD" w14:textId="2AF61EE8" w:rsidR="00A7169F" w:rsidRDefault="00E62DB1" w:rsidP="00FB4A5A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B1617E">
      <w:t xml:space="preserve">Revised </w:t>
    </w:r>
    <w:r w:rsidR="002C21C5">
      <w:rPr>
        <w:noProof/>
      </w:rPr>
      <w:t>May 2023</w:t>
    </w:r>
    <w:r w:rsidR="00A7169F">
      <w:tab/>
    </w:r>
    <w:sdt>
      <w:sdtPr>
        <w:id w:val="-1313101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169F">
          <w:fldChar w:fldCharType="begin"/>
        </w:r>
        <w:r w:rsidR="00A7169F">
          <w:instrText xml:space="preserve"> PAGE   \* MERGEFORMAT </w:instrText>
        </w:r>
        <w:r w:rsidR="00A7169F">
          <w:fldChar w:fldCharType="separate"/>
        </w:r>
        <w:r w:rsidR="00A7169F">
          <w:rPr>
            <w:noProof/>
          </w:rPr>
          <w:t>2</w:t>
        </w:r>
        <w:r w:rsidR="00A7169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BB1" w14:textId="630574CA" w:rsidR="00A7169F" w:rsidRPr="00B1617E" w:rsidRDefault="00B1617E" w:rsidP="00B1617E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Revised </w:t>
    </w:r>
    <w:r w:rsidR="002C21C5">
      <w:rPr>
        <w:noProof/>
      </w:rPr>
      <w:t>May 2023</w:t>
    </w:r>
    <w:r>
      <w:tab/>
    </w:r>
    <w:sdt>
      <w:sdtPr>
        <w:id w:val="507651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  <w:r w:rsidRPr="00FB4A5A">
      <w:rPr>
        <w:noProof/>
      </w:rPr>
      <w:tab/>
      <w:t xml:space="preserve">ADA Compliant: </w:t>
    </w:r>
    <w:r w:rsidR="002C21C5">
      <w:rPr>
        <w:noProof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A7169F" w:rsidRDefault="00A7169F" w:rsidP="00CC72A4">
      <w:pPr>
        <w:spacing w:after="0"/>
      </w:pPr>
      <w:r>
        <w:separator/>
      </w:r>
    </w:p>
  </w:footnote>
  <w:footnote w:type="continuationSeparator" w:id="0">
    <w:p w14:paraId="4EBB5192" w14:textId="77777777" w:rsidR="00A7169F" w:rsidRDefault="00A7169F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B14" w14:textId="040F4798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>
      <w:t>6</w:t>
    </w:r>
    <w:r w:rsidR="0034199C"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AA" w14:textId="6E479A6A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>
      <w:t>6</w:t>
    </w:r>
    <w:r w:rsidR="0034199C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0D9"/>
    <w:multiLevelType w:val="hybridMultilevel"/>
    <w:tmpl w:val="48B46E18"/>
    <w:lvl w:ilvl="0" w:tplc="88C463D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07A037E7"/>
    <w:multiLevelType w:val="hybridMultilevel"/>
    <w:tmpl w:val="C17C3D18"/>
    <w:lvl w:ilvl="0" w:tplc="0F4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2C46B6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6DD8"/>
    <w:multiLevelType w:val="hybridMultilevel"/>
    <w:tmpl w:val="86A0111A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CCA2EBB"/>
    <w:multiLevelType w:val="hybridMultilevel"/>
    <w:tmpl w:val="0B784574"/>
    <w:lvl w:ilvl="0" w:tplc="45D0B2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7" w15:restartNumberingAfterBreak="0">
    <w:nsid w:val="27A34ECD"/>
    <w:multiLevelType w:val="hybridMultilevel"/>
    <w:tmpl w:val="3BA0D066"/>
    <w:lvl w:ilvl="0" w:tplc="2954F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A19AE"/>
    <w:multiLevelType w:val="hybridMultilevel"/>
    <w:tmpl w:val="E0E0848C"/>
    <w:lvl w:ilvl="0" w:tplc="70CA5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3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490656">
    <w:abstractNumId w:val="12"/>
  </w:num>
  <w:num w:numId="2" w16cid:durableId="1383363987">
    <w:abstractNumId w:val="6"/>
  </w:num>
  <w:num w:numId="3" w16cid:durableId="518811553">
    <w:abstractNumId w:val="11"/>
  </w:num>
  <w:num w:numId="4" w16cid:durableId="84619033">
    <w:abstractNumId w:val="14"/>
  </w:num>
  <w:num w:numId="5" w16cid:durableId="2138330494">
    <w:abstractNumId w:val="15"/>
  </w:num>
  <w:num w:numId="6" w16cid:durableId="971716374">
    <w:abstractNumId w:val="10"/>
  </w:num>
  <w:num w:numId="7" w16cid:durableId="273679154">
    <w:abstractNumId w:val="3"/>
  </w:num>
  <w:num w:numId="8" w16cid:durableId="966086554">
    <w:abstractNumId w:val="17"/>
  </w:num>
  <w:num w:numId="9" w16cid:durableId="361175052">
    <w:abstractNumId w:val="13"/>
  </w:num>
  <w:num w:numId="10" w16cid:durableId="429474867">
    <w:abstractNumId w:val="16"/>
  </w:num>
  <w:num w:numId="11" w16cid:durableId="894775368">
    <w:abstractNumId w:val="8"/>
  </w:num>
  <w:num w:numId="12" w16cid:durableId="1505823300">
    <w:abstractNumId w:val="5"/>
  </w:num>
  <w:num w:numId="13" w16cid:durableId="958298105">
    <w:abstractNumId w:val="4"/>
  </w:num>
  <w:num w:numId="14" w16cid:durableId="491992247">
    <w:abstractNumId w:val="1"/>
  </w:num>
  <w:num w:numId="15" w16cid:durableId="55859687">
    <w:abstractNumId w:val="7"/>
  </w:num>
  <w:num w:numId="16" w16cid:durableId="1490442708">
    <w:abstractNumId w:val="9"/>
  </w:num>
  <w:num w:numId="17" w16cid:durableId="2131969099">
    <w:abstractNumId w:val="0"/>
  </w:num>
  <w:num w:numId="18" w16cid:durableId="2007513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778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5177"/>
    <w:rsid w:val="000109B3"/>
    <w:rsid w:val="000210AC"/>
    <w:rsid w:val="000216DC"/>
    <w:rsid w:val="00050D72"/>
    <w:rsid w:val="000821D2"/>
    <w:rsid w:val="00083A7D"/>
    <w:rsid w:val="00086080"/>
    <w:rsid w:val="000A0CDE"/>
    <w:rsid w:val="000B42AD"/>
    <w:rsid w:val="000C2522"/>
    <w:rsid w:val="00100E78"/>
    <w:rsid w:val="0010531E"/>
    <w:rsid w:val="00142A89"/>
    <w:rsid w:val="00143877"/>
    <w:rsid w:val="00165167"/>
    <w:rsid w:val="001946E1"/>
    <w:rsid w:val="00197AC6"/>
    <w:rsid w:val="001A0F20"/>
    <w:rsid w:val="001D036E"/>
    <w:rsid w:val="0021760B"/>
    <w:rsid w:val="00250E65"/>
    <w:rsid w:val="00284C50"/>
    <w:rsid w:val="002C21C5"/>
    <w:rsid w:val="002F516D"/>
    <w:rsid w:val="0033122C"/>
    <w:rsid w:val="003415C4"/>
    <w:rsid w:val="0034199C"/>
    <w:rsid w:val="003574E6"/>
    <w:rsid w:val="003774DA"/>
    <w:rsid w:val="003822C9"/>
    <w:rsid w:val="003D1F6B"/>
    <w:rsid w:val="00401ED6"/>
    <w:rsid w:val="00411AD3"/>
    <w:rsid w:val="004236B1"/>
    <w:rsid w:val="0043612E"/>
    <w:rsid w:val="00464D02"/>
    <w:rsid w:val="004932F8"/>
    <w:rsid w:val="004B57C1"/>
    <w:rsid w:val="004D30B8"/>
    <w:rsid w:val="00501AB3"/>
    <w:rsid w:val="00514626"/>
    <w:rsid w:val="005560AD"/>
    <w:rsid w:val="00562F6D"/>
    <w:rsid w:val="005651F3"/>
    <w:rsid w:val="00573FBC"/>
    <w:rsid w:val="005746AD"/>
    <w:rsid w:val="005834F3"/>
    <w:rsid w:val="005A07F0"/>
    <w:rsid w:val="005B2246"/>
    <w:rsid w:val="005B4487"/>
    <w:rsid w:val="005E1AC8"/>
    <w:rsid w:val="005E3544"/>
    <w:rsid w:val="005F767D"/>
    <w:rsid w:val="00600AE3"/>
    <w:rsid w:val="00613728"/>
    <w:rsid w:val="00635A95"/>
    <w:rsid w:val="00640CA3"/>
    <w:rsid w:val="00652E64"/>
    <w:rsid w:val="006626C4"/>
    <w:rsid w:val="006D498B"/>
    <w:rsid w:val="006E3448"/>
    <w:rsid w:val="0070740A"/>
    <w:rsid w:val="0072614E"/>
    <w:rsid w:val="00731063"/>
    <w:rsid w:val="007601DD"/>
    <w:rsid w:val="0076334D"/>
    <w:rsid w:val="0077110D"/>
    <w:rsid w:val="007B11E2"/>
    <w:rsid w:val="007B49C4"/>
    <w:rsid w:val="007C0DCB"/>
    <w:rsid w:val="007E422D"/>
    <w:rsid w:val="007F02AD"/>
    <w:rsid w:val="007F7616"/>
    <w:rsid w:val="0087670C"/>
    <w:rsid w:val="008814E8"/>
    <w:rsid w:val="008C6588"/>
    <w:rsid w:val="008D4BBB"/>
    <w:rsid w:val="008D5465"/>
    <w:rsid w:val="008E1158"/>
    <w:rsid w:val="009313C5"/>
    <w:rsid w:val="009335C2"/>
    <w:rsid w:val="00975E86"/>
    <w:rsid w:val="00977650"/>
    <w:rsid w:val="00982319"/>
    <w:rsid w:val="0099247F"/>
    <w:rsid w:val="00992DB9"/>
    <w:rsid w:val="00996243"/>
    <w:rsid w:val="009A604C"/>
    <w:rsid w:val="009B0759"/>
    <w:rsid w:val="009D0841"/>
    <w:rsid w:val="009E3632"/>
    <w:rsid w:val="00A40CD4"/>
    <w:rsid w:val="00A50850"/>
    <w:rsid w:val="00A56838"/>
    <w:rsid w:val="00A60308"/>
    <w:rsid w:val="00A7169F"/>
    <w:rsid w:val="00AD71AD"/>
    <w:rsid w:val="00B1617E"/>
    <w:rsid w:val="00B25A49"/>
    <w:rsid w:val="00B25E42"/>
    <w:rsid w:val="00B31EDB"/>
    <w:rsid w:val="00B476C5"/>
    <w:rsid w:val="00B656A4"/>
    <w:rsid w:val="00BA5649"/>
    <w:rsid w:val="00BD2D65"/>
    <w:rsid w:val="00BE2DF2"/>
    <w:rsid w:val="00BE6854"/>
    <w:rsid w:val="00BF5744"/>
    <w:rsid w:val="00BF7974"/>
    <w:rsid w:val="00C1273D"/>
    <w:rsid w:val="00C269CB"/>
    <w:rsid w:val="00C33692"/>
    <w:rsid w:val="00C37D36"/>
    <w:rsid w:val="00C552BB"/>
    <w:rsid w:val="00C710F4"/>
    <w:rsid w:val="00C8206C"/>
    <w:rsid w:val="00CC72A4"/>
    <w:rsid w:val="00CF05E8"/>
    <w:rsid w:val="00D3714F"/>
    <w:rsid w:val="00D47DE0"/>
    <w:rsid w:val="00D57F5F"/>
    <w:rsid w:val="00DB137B"/>
    <w:rsid w:val="00DC7DB8"/>
    <w:rsid w:val="00DD0BAC"/>
    <w:rsid w:val="00E13E06"/>
    <w:rsid w:val="00E4046E"/>
    <w:rsid w:val="00E520CE"/>
    <w:rsid w:val="00E54161"/>
    <w:rsid w:val="00E62DB1"/>
    <w:rsid w:val="00E976A4"/>
    <w:rsid w:val="00EA4B07"/>
    <w:rsid w:val="00EE6E59"/>
    <w:rsid w:val="00F12CF2"/>
    <w:rsid w:val="00F40D93"/>
    <w:rsid w:val="00F40E20"/>
    <w:rsid w:val="00F55450"/>
    <w:rsid w:val="00F60D36"/>
    <w:rsid w:val="00F65114"/>
    <w:rsid w:val="00F76E55"/>
    <w:rsid w:val="00FA440A"/>
    <w:rsid w:val="00FB15E9"/>
    <w:rsid w:val="00FB4A5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8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4F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1C5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2C"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3714F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714F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21C5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22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umberedList">
    <w:name w:val="Numbered List"/>
    <w:basedOn w:val="Normal"/>
    <w:qFormat/>
    <w:rsid w:val="00C710F4"/>
    <w:pPr>
      <w:spacing w:after="0"/>
      <w:ind w:left="475" w:hanging="288"/>
    </w:pPr>
    <w:rPr>
      <w:rFonts w:eastAsia="Times New Roman" w:cs="Arial"/>
      <w:b/>
    </w:rPr>
  </w:style>
  <w:style w:type="paragraph" w:styleId="NoSpacing">
    <w:name w:val="No Spacing"/>
    <w:uiPriority w:val="1"/>
    <w:qFormat/>
    <w:rsid w:val="00C710F4"/>
    <w:pPr>
      <w:spacing w:after="0" w:line="240" w:lineRule="auto"/>
    </w:pPr>
    <w:rPr>
      <w:rFonts w:ascii="Open Sans" w:hAnsi="Open Sans"/>
      <w:sz w:val="24"/>
      <w:szCs w:val="24"/>
    </w:rPr>
  </w:style>
  <w:style w:type="paragraph" w:styleId="Revision">
    <w:name w:val="Revision"/>
    <w:hidden/>
    <w:uiPriority w:val="99"/>
    <w:semiHidden/>
    <w:rsid w:val="00F12CF2"/>
    <w:pPr>
      <w:spacing w:after="0" w:line="240" w:lineRule="auto"/>
    </w:pPr>
    <w:rPr>
      <w:rFonts w:ascii="Open Sans" w:hAnsi="Open 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4C4E-BDE8-48AC-A813-6866C4B6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6e. Individualized Transition Plan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6e. Individualized Transition Plan</dc:title>
  <dc:subject/>
  <dc:creator>Nordfelt, Emily</dc:creator>
  <cp:keywords/>
  <dc:description/>
  <cp:lastModifiedBy>Nordfelt, Emily</cp:lastModifiedBy>
  <cp:revision>25</cp:revision>
  <dcterms:created xsi:type="dcterms:W3CDTF">2019-10-17T23:49:00Z</dcterms:created>
  <dcterms:modified xsi:type="dcterms:W3CDTF">2023-07-17T21:20:00Z</dcterms:modified>
</cp:coreProperties>
</file>